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Lista de útiles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Fundas transparentes (oficios).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hojas de termolaminar (Sin adhesivos con nombre).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de dibujo  n°99.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de cartulinas.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española.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flúor.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1Block de cartulina metálica.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papel entretenido.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paño lency.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goma eva glitter adhevisa.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goma eva colores.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Pliegos de papel craft.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Cinta de embalaje transparente gruesa.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Cinta doble contacto  (grande).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Cinta de papel maskintape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Caja de temperas 12 colores.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 de barras de silicona (7mm).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temperas metálicas.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Tempera grande color a elección.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Pinceles distintos números.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plumón permanente.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plumones de pizarra (negro o azul)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Saca puntas.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Lápices de mina Jumbo.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Gomas de borrar.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escarchas.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Set de lentejuelas (porte pequeñas y grandes).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plumas.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Set de limpia pipa.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 de ojos locos.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aguja de lana con punta.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lanas de distintos colores.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paquetes de palo de helado (1 paq de colores otro clásico).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de marcadores de colores jumbo (12 lápices).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Paquetes de plastilina.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½ kilo de cola fría.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Cajas de lápices de colores (12 lápices jumbo).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Pegamentos en barra (mediano o grande).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plástica organizadora (14 litros).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botones.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Tijera punta redonda.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Caja chiche mariposa.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Stickers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pompones.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velcros circulares con adhesivo (Diferentes tamaños).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Útiles de aseo personal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su mochila debe traer todos los días.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Cepillo de dientes.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Pasta dental.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Toalla de 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Peineta.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Delantal.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(Enviar estos materiales en una bolsa de género y marcados)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todos los útiles escolares y ropa marcados,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hace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 por perdida.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</w:p>
    <w:sectPr>
      <w:headerReference r:id="rId6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5178425</wp:posOffset>
          </wp:positionH>
          <wp:positionV relativeFrom="margin">
            <wp:posOffset>1905</wp:posOffset>
          </wp:positionV>
          <wp:extent cx="1245870" cy="844550"/>
          <wp:effectExtent b="0" l="0" r="0" t="0"/>
          <wp:wrapSquare wrapText="bothSides" distB="0" distT="0" distL="114300" distR="114300"/>
          <wp:docPr descr="Imagen que contiene Interfaz de usuario gráfica&#10;&#10;El contenido generado por IA puede ser incorrecto." id="1" name="image1.jpg"/>
          <a:graphic>
            <a:graphicData uri="http://schemas.openxmlformats.org/drawingml/2006/picture">
              <pic:pic>
                <pic:nvPicPr>
                  <pic:cNvPr descr="Imagen que contiene Interfaz de usuario gráfica&#10;&#10;El contenido generado por IA puede ser incorrec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5870" cy="844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-75564</wp:posOffset>
          </wp:positionH>
          <wp:positionV relativeFrom="paragraph">
            <wp:posOffset>-205739</wp:posOffset>
          </wp:positionV>
          <wp:extent cx="640454" cy="490119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454" cy="4901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